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5" w:type="dxa"/>
        <w:tblLayout w:type="fixed"/>
        <w:tblCellMar>
          <w:top w:w="85" w:type="dxa"/>
          <w:left w:w="0" w:type="dxa"/>
          <w:bottom w:w="85" w:type="dxa"/>
          <w:right w:w="0" w:type="dxa"/>
        </w:tblCellMar>
        <w:tblLook w:val="01E0" w:firstRow="1" w:lastRow="1" w:firstColumn="1" w:lastColumn="1" w:noHBand="0" w:noVBand="0"/>
      </w:tblPr>
      <w:tblGrid>
        <w:gridCol w:w="4325"/>
        <w:gridCol w:w="5580"/>
      </w:tblGrid>
      <w:tr w:rsidR="00016092">
        <w:tc>
          <w:tcPr>
            <w:tcW w:w="4325" w:type="dxa"/>
            <w:tcBorders>
              <w:top w:val="single" w:sz="4" w:space="0" w:color="auto"/>
              <w:left w:val="single" w:sz="4" w:space="0" w:color="auto"/>
              <w:bottom w:val="single" w:sz="4" w:space="0" w:color="auto"/>
              <w:right w:val="single" w:sz="4" w:space="0" w:color="auto"/>
            </w:tcBorders>
          </w:tcPr>
          <w:p w:rsidR="00C85905" w:rsidRDefault="00C85905" w:rsidP="00490437">
            <w:pPr>
              <w:pStyle w:val="Piecz"/>
            </w:pPr>
            <w:bookmarkStart w:id="0" w:name="_GoBack"/>
            <w:bookmarkEnd w:id="0"/>
            <w:r>
              <w:t>Sąd Rejonowy w Żarach</w:t>
            </w:r>
          </w:p>
          <w:p w:rsidR="00016092" w:rsidRPr="00490437" w:rsidRDefault="00C85905" w:rsidP="00490437">
            <w:pPr>
              <w:pStyle w:val="Piecz"/>
            </w:pPr>
            <w:r>
              <w:t>III Wydział Rodzinny i Nieletnich</w:t>
            </w:r>
          </w:p>
          <w:p w:rsidR="00016092" w:rsidRDefault="00C85905">
            <w:pPr>
              <w:pStyle w:val="Piecz"/>
            </w:pPr>
            <w:r>
              <w:t>ul. Spokojna 20</w:t>
            </w:r>
          </w:p>
          <w:p w:rsidR="00016092" w:rsidRDefault="00C85905">
            <w:pPr>
              <w:pStyle w:val="Piecz"/>
            </w:pPr>
            <w:r>
              <w:t>68-200</w:t>
            </w:r>
            <w:r w:rsidR="00016092">
              <w:t xml:space="preserve"> </w:t>
            </w:r>
            <w:r>
              <w:t>Żary</w:t>
            </w:r>
          </w:p>
          <w:p w:rsidR="00016092" w:rsidRDefault="00C85905" w:rsidP="00C85905">
            <w:pPr>
              <w:pStyle w:val="Pieczmaa"/>
            </w:pPr>
            <w:r>
              <w:t>tel. BOI-068 36 35 342</w:t>
            </w:r>
            <w:r w:rsidR="00016092">
              <w:t xml:space="preserve"> </w:t>
            </w:r>
            <w:r>
              <w:t>fax. 068 41 98 329</w:t>
            </w:r>
          </w:p>
        </w:tc>
        <w:tc>
          <w:tcPr>
            <w:tcW w:w="5580" w:type="dxa"/>
            <w:tcBorders>
              <w:top w:val="nil"/>
              <w:left w:val="single" w:sz="4" w:space="0" w:color="auto"/>
              <w:bottom w:val="nil"/>
              <w:right w:val="nil"/>
            </w:tcBorders>
          </w:tcPr>
          <w:p w:rsidR="00016092" w:rsidRDefault="00C85905">
            <w:pPr>
              <w:pStyle w:val="Nagowekdata"/>
              <w:rPr>
                <w:bCs/>
              </w:rPr>
            </w:pPr>
            <w:r>
              <w:t>Żary</w:t>
            </w:r>
            <w:r w:rsidR="00016092">
              <w:rPr>
                <w:bCs/>
                <w:szCs w:val="16"/>
              </w:rPr>
              <w:t xml:space="preserve">, </w:t>
            </w:r>
            <w:r w:rsidR="00016092">
              <w:rPr>
                <w:bCs/>
              </w:rPr>
              <w:t xml:space="preserve">dnia </w:t>
            </w:r>
            <w:r>
              <w:t>29 marca 2024 r.</w:t>
            </w:r>
          </w:p>
          <w:p w:rsidR="00016092" w:rsidRDefault="00016092">
            <w:pPr>
              <w:pStyle w:val="Nagowekdata"/>
              <w:rPr>
                <w:rStyle w:val="SygnaturaKod"/>
                <w:sz w:val="28"/>
              </w:rPr>
            </w:pPr>
          </w:p>
          <w:p w:rsidR="00016092" w:rsidRDefault="00C85905">
            <w:pPr>
              <w:pStyle w:val="Nagowekdata"/>
              <w:rPr>
                <w:rStyle w:val="SygnaturaKod"/>
              </w:rPr>
            </w:pPr>
            <w:r>
              <w:rPr>
                <w:rStyle w:val="SygnaturaKod"/>
              </w:rPr>
              <w:t>*$%$III/RC/160/23*</w:t>
            </w:r>
          </w:p>
          <w:p w:rsidR="00016092" w:rsidRDefault="00C85905">
            <w:pPr>
              <w:pStyle w:val="Nagowekdata"/>
              <w:spacing w:before="120"/>
              <w:rPr>
                <w:rStyle w:val="oznaczeniepracownika"/>
              </w:rPr>
            </w:pPr>
            <w:r>
              <w:rPr>
                <w:rStyle w:val="oznaczeniepracownika"/>
              </w:rPr>
              <w:t>MM</w:t>
            </w:r>
          </w:p>
        </w:tc>
      </w:tr>
    </w:tbl>
    <w:p w:rsidR="00016092" w:rsidRDefault="00016092">
      <w:pPr>
        <w:pStyle w:val="Sygnatura"/>
      </w:pPr>
      <w:r>
        <w:tab/>
        <w:t xml:space="preserve">Sygnatura akt </w:t>
      </w:r>
      <w:r w:rsidR="00C85905">
        <w:t>III RC 160/23</w:t>
      </w:r>
    </w:p>
    <w:p w:rsidR="00016092" w:rsidRDefault="00016092">
      <w:pPr>
        <w:pStyle w:val="Podpowiedzsygnatura"/>
      </w:pPr>
      <w:r>
        <w:tab/>
        <w:t xml:space="preserve">(w odpowiedzi należy podać datę i sygn. akt) </w:t>
      </w:r>
    </w:p>
    <w:p w:rsidR="00016092" w:rsidRDefault="00C85905">
      <w:pPr>
        <w:pStyle w:val="Adresat"/>
        <w:rPr>
          <w:b/>
          <w:bCs/>
        </w:rPr>
      </w:pPr>
      <w:r>
        <w:rPr>
          <w:b/>
          <w:bCs/>
        </w:rPr>
        <w:t>Norbert Krupa</w:t>
      </w:r>
    </w:p>
    <w:p w:rsidR="00C85905" w:rsidRDefault="00C85905" w:rsidP="005276B6">
      <w:pPr>
        <w:pStyle w:val="Adresat"/>
      </w:pPr>
      <w:r>
        <w:t>ul. Bezpieczna 17/4</w:t>
      </w:r>
    </w:p>
    <w:p w:rsidR="00016092" w:rsidRDefault="00C85905" w:rsidP="005276B6">
      <w:pPr>
        <w:pStyle w:val="Adresat"/>
      </w:pPr>
      <w:r>
        <w:t>54-114 WROCŁAW</w:t>
      </w:r>
    </w:p>
    <w:p w:rsidR="009833AB" w:rsidRDefault="009833AB" w:rsidP="009833AB">
      <w:pPr>
        <w:pStyle w:val="Adresat"/>
        <w:ind w:left="0"/>
      </w:pPr>
    </w:p>
    <w:p w:rsidR="009833AB" w:rsidRDefault="009833AB" w:rsidP="009833AB">
      <w:pPr>
        <w:pStyle w:val="Sygnaturapowizana"/>
      </w:pPr>
    </w:p>
    <w:p w:rsidR="00016092" w:rsidRPr="00980DFE" w:rsidRDefault="00016092">
      <w:pPr>
        <w:pStyle w:val="Tytu"/>
      </w:pPr>
      <w:r w:rsidRPr="00980DFE">
        <w:t>DORĘCZENIE</w:t>
      </w:r>
      <w:r w:rsidR="005276B6" w:rsidRPr="00980DFE">
        <w:t xml:space="preserve"> ODPISU </w:t>
      </w:r>
      <w:r w:rsidR="00AF00B0">
        <w:rPr>
          <w:rStyle w:val="oznaczeniepracownika"/>
          <w:b/>
        </w:rPr>
        <w:t xml:space="preserve">POSTANOWIENIA </w:t>
      </w:r>
    </w:p>
    <w:p w:rsidR="00016092" w:rsidRDefault="00016092">
      <w:pPr>
        <w:pStyle w:val="Podtytu"/>
      </w:pPr>
    </w:p>
    <w:p w:rsidR="00B214D8" w:rsidRDefault="00C85905">
      <w:pPr>
        <w:pStyle w:val="Tre"/>
      </w:pPr>
      <w:r>
        <w:t>Sąd Rejonowy w Żarach III Wydział Rodzinny i Nieletnich</w:t>
      </w:r>
      <w:r w:rsidR="00490437">
        <w:t xml:space="preserve"> </w:t>
      </w:r>
      <w:r w:rsidR="00016092" w:rsidRPr="00FF080B">
        <w:t xml:space="preserve">doręcza odpis </w:t>
      </w:r>
      <w:r w:rsidR="005276B6" w:rsidRPr="00FF080B">
        <w:t xml:space="preserve">zapadłego poza rozprawą </w:t>
      </w:r>
      <w:r w:rsidR="00AF00B0">
        <w:rPr>
          <w:rStyle w:val="oznaczeniepracownika"/>
          <w:b w:val="0"/>
        </w:rPr>
        <w:t>postanowienia</w:t>
      </w:r>
      <w:r w:rsidR="005276B6" w:rsidRPr="00FF080B">
        <w:t xml:space="preserve"> z dnia</w:t>
      </w:r>
      <w:r w:rsidR="00016092" w:rsidRPr="00FF080B">
        <w:t xml:space="preserve"> </w:t>
      </w:r>
      <w:r w:rsidR="00CA5DCD">
        <w:t>21.03.2024 r.</w:t>
      </w:r>
    </w:p>
    <w:p w:rsidR="00016092" w:rsidRDefault="005276B6">
      <w:pPr>
        <w:pStyle w:val="Tre"/>
      </w:pPr>
      <w:r w:rsidRPr="00FF080B">
        <w:t xml:space="preserve">Na </w:t>
      </w:r>
      <w:r w:rsidR="00AF00B0">
        <w:rPr>
          <w:rStyle w:val="oznaczeniepracownika"/>
          <w:b w:val="0"/>
        </w:rPr>
        <w:t>postanowienie</w:t>
      </w:r>
      <w:r w:rsidRPr="00FF080B">
        <w:t xml:space="preserve"> przysługuje prawo wniesienia zażalenia.</w:t>
      </w:r>
    </w:p>
    <w:p w:rsidR="00FF2D51" w:rsidRPr="00FF080B" w:rsidRDefault="00FF2D51">
      <w:pPr>
        <w:pStyle w:val="Tre"/>
      </w:pPr>
    </w:p>
    <w:p w:rsidR="00016092" w:rsidRDefault="00016092">
      <w:pPr>
        <w:pStyle w:val="Tre"/>
      </w:pPr>
    </w:p>
    <w:p w:rsidR="004352EB" w:rsidRPr="000E2EDF" w:rsidRDefault="004352EB">
      <w:pPr>
        <w:pStyle w:val="Tre"/>
        <w:rPr>
          <w:i/>
        </w:rPr>
      </w:pPr>
      <w:r>
        <w:t xml:space="preserve">                                                                                                     </w:t>
      </w:r>
      <w:r w:rsidRPr="000E2EDF">
        <w:rPr>
          <w:i/>
        </w:rPr>
        <w:t xml:space="preserve">Na zarządzenie </w:t>
      </w:r>
      <w:r w:rsidR="000E2EDF" w:rsidRPr="000E2EDF">
        <w:rPr>
          <w:i/>
        </w:rPr>
        <w:t>S</w:t>
      </w:r>
      <w:r w:rsidRPr="000E2EDF">
        <w:rPr>
          <w:i/>
        </w:rPr>
        <w:t>ędziego</w:t>
      </w:r>
    </w:p>
    <w:p w:rsidR="008C49E6" w:rsidRDefault="008C49E6" w:rsidP="008C49E6">
      <w:pPr>
        <w:pStyle w:val="Tre"/>
        <w:tabs>
          <w:tab w:val="center" w:pos="7230"/>
        </w:tabs>
      </w:pPr>
      <w:r>
        <w:t xml:space="preserve">  </w:t>
      </w:r>
      <w:r>
        <w:tab/>
      </w:r>
      <w:r w:rsidR="00C85905">
        <w:t>Sekretarz</w:t>
      </w:r>
      <w:r w:rsidR="00CA5DCD">
        <w:t xml:space="preserve"> sądowy</w:t>
      </w:r>
    </w:p>
    <w:p w:rsidR="008C49E6" w:rsidRDefault="008C49E6" w:rsidP="008C49E6">
      <w:pPr>
        <w:pStyle w:val="Tre"/>
        <w:tabs>
          <w:tab w:val="center" w:pos="7230"/>
        </w:tabs>
        <w:rPr>
          <w:sz w:val="28"/>
          <w:szCs w:val="28"/>
        </w:rPr>
      </w:pPr>
      <w:r>
        <w:t xml:space="preserve"> </w:t>
      </w:r>
      <w:r>
        <w:tab/>
      </w:r>
      <w:r w:rsidR="00C85905">
        <w:rPr>
          <w:sz w:val="28"/>
          <w:szCs w:val="28"/>
        </w:rPr>
        <w:t>Agata Rybka</w:t>
      </w:r>
    </w:p>
    <w:p w:rsidR="008C49E6" w:rsidRDefault="008C49E6" w:rsidP="00C85905">
      <w:pPr>
        <w:pStyle w:val="Podpowied"/>
        <w:tabs>
          <w:tab w:val="center" w:pos="7230"/>
        </w:tabs>
      </w:pPr>
      <w:r>
        <w:tab/>
      </w:r>
      <w:bookmarkStart w:id="1" w:name="pod_dok_podpis"/>
      <w:r w:rsidR="00C85905">
        <w:t xml:space="preserve"> </w:t>
      </w:r>
    </w:p>
    <w:bookmarkEnd w:id="1"/>
    <w:p w:rsidR="002767B3" w:rsidRDefault="00C85905" w:rsidP="008C49E6">
      <w:pPr>
        <w:pStyle w:val="Pouczenienagwek"/>
        <w:jc w:val="left"/>
      </w:pPr>
      <w:r>
        <w:rPr>
          <w:b w:val="0"/>
          <w:caps w:val="0"/>
          <w:spacing w:val="0"/>
          <w:sz w:val="20"/>
        </w:rPr>
        <w:t>Niniejsze pismo nie wymaga podpisu na podstawie § 100a ust. 1 -3 rozporządzenia Ministra Sprawiedliwości z dnia 18 czerwca 2019r. - Regulamin urzędowania sądów powszechnych jako właściwie zatwierdzone w sądowym systemie teleinformatycznym.</w:t>
      </w:r>
    </w:p>
    <w:p w:rsidR="00FF2D51" w:rsidRDefault="00FF2D51" w:rsidP="008C49E6">
      <w:pPr>
        <w:pStyle w:val="Pouczenienagwek"/>
        <w:jc w:val="left"/>
      </w:pPr>
    </w:p>
    <w:p w:rsidR="00FF2D51" w:rsidRDefault="00FF2D51" w:rsidP="008C49E6">
      <w:pPr>
        <w:pStyle w:val="Pouczenienagwek"/>
        <w:jc w:val="left"/>
      </w:pPr>
    </w:p>
    <w:p w:rsidR="00FF2D51" w:rsidRDefault="00FF2D51" w:rsidP="008C49E6">
      <w:pPr>
        <w:pStyle w:val="Pouczenienagwek"/>
        <w:jc w:val="left"/>
      </w:pPr>
    </w:p>
    <w:p w:rsidR="00FF2D51" w:rsidRDefault="00FF2D51" w:rsidP="008C49E6">
      <w:pPr>
        <w:pStyle w:val="Pouczenienagwek"/>
        <w:jc w:val="left"/>
      </w:pPr>
    </w:p>
    <w:p w:rsidR="00133297" w:rsidRDefault="00133297" w:rsidP="008C49E6">
      <w:pPr>
        <w:pStyle w:val="Pouczenienagwek"/>
        <w:jc w:val="left"/>
      </w:pPr>
    </w:p>
    <w:p w:rsidR="002767B3" w:rsidRPr="002767B3" w:rsidRDefault="002767B3" w:rsidP="002767B3">
      <w:pPr>
        <w:jc w:val="center"/>
        <w:rPr>
          <w:rFonts w:eastAsia="Calibri"/>
          <w:b/>
          <w:sz w:val="24"/>
          <w:szCs w:val="24"/>
          <w:u w:val="single"/>
          <w:lang w:eastAsia="en-US"/>
        </w:rPr>
      </w:pPr>
      <w:r w:rsidRPr="002767B3">
        <w:rPr>
          <w:rFonts w:eastAsia="Calibri"/>
          <w:b/>
          <w:sz w:val="24"/>
          <w:szCs w:val="24"/>
          <w:u w:val="single"/>
          <w:lang w:eastAsia="en-US"/>
        </w:rPr>
        <w:t>POUCZENIE</w:t>
      </w:r>
    </w:p>
    <w:p w:rsidR="002767B3" w:rsidRPr="002767B3" w:rsidRDefault="002767B3" w:rsidP="002767B3">
      <w:pPr>
        <w:jc w:val="both"/>
        <w:rPr>
          <w:bCs/>
          <w:sz w:val="24"/>
          <w:szCs w:val="24"/>
        </w:rPr>
      </w:pPr>
    </w:p>
    <w:p w:rsidR="002767B3" w:rsidRPr="002767B3" w:rsidRDefault="002767B3" w:rsidP="002767B3">
      <w:pPr>
        <w:jc w:val="both"/>
        <w:rPr>
          <w:bCs/>
          <w:sz w:val="24"/>
          <w:szCs w:val="24"/>
        </w:rPr>
      </w:pPr>
    </w:p>
    <w:p w:rsidR="002767B3" w:rsidRPr="002767B3" w:rsidRDefault="002767B3" w:rsidP="002767B3">
      <w:pPr>
        <w:jc w:val="both"/>
        <w:rPr>
          <w:bCs/>
          <w:sz w:val="24"/>
          <w:szCs w:val="24"/>
        </w:rPr>
      </w:pPr>
    </w:p>
    <w:p w:rsidR="002767B3" w:rsidRPr="002767B3" w:rsidRDefault="002767B3" w:rsidP="002767B3">
      <w:pPr>
        <w:jc w:val="both"/>
        <w:rPr>
          <w:bCs/>
          <w:sz w:val="24"/>
          <w:szCs w:val="24"/>
        </w:rPr>
      </w:pPr>
      <w:r w:rsidRPr="002767B3">
        <w:rPr>
          <w:bCs/>
          <w:sz w:val="24"/>
          <w:szCs w:val="24"/>
        </w:rPr>
        <w:t xml:space="preserve">Od doręczonego postanowienia przysługuje </w:t>
      </w:r>
      <w:r w:rsidRPr="002767B3">
        <w:rPr>
          <w:b/>
          <w:bCs/>
          <w:sz w:val="24"/>
          <w:szCs w:val="24"/>
        </w:rPr>
        <w:t>ZAŻALENIE.</w:t>
      </w:r>
      <w:r w:rsidRPr="002767B3">
        <w:rPr>
          <w:bCs/>
          <w:sz w:val="24"/>
          <w:szCs w:val="24"/>
        </w:rPr>
        <w:t xml:space="preserve">  </w:t>
      </w:r>
    </w:p>
    <w:p w:rsidR="002767B3" w:rsidRPr="002767B3" w:rsidRDefault="002767B3" w:rsidP="002767B3">
      <w:pPr>
        <w:jc w:val="both"/>
        <w:rPr>
          <w:rFonts w:eastAsia="Calibri"/>
          <w:b/>
          <w:sz w:val="24"/>
          <w:szCs w:val="24"/>
          <w:u w:val="single"/>
          <w:lang w:eastAsia="en-US"/>
        </w:rPr>
      </w:pPr>
    </w:p>
    <w:p w:rsidR="002767B3" w:rsidRPr="002767B3" w:rsidRDefault="002767B3" w:rsidP="002767B3">
      <w:pPr>
        <w:jc w:val="both"/>
        <w:rPr>
          <w:b/>
          <w:bCs/>
          <w:sz w:val="24"/>
          <w:szCs w:val="24"/>
        </w:rPr>
      </w:pPr>
      <w:r w:rsidRPr="002767B3">
        <w:rPr>
          <w:sz w:val="24"/>
          <w:szCs w:val="24"/>
        </w:rPr>
        <w:t xml:space="preserve">W celu  wniesienia zażalenia  należy w terminie tygodnia od daty doręczenia postanowienia  złożyć wniosek </w:t>
      </w:r>
      <w:r w:rsidRPr="002767B3">
        <w:rPr>
          <w:b/>
          <w:sz w:val="24"/>
          <w:szCs w:val="24"/>
        </w:rPr>
        <w:t>o doręczenie  uzasadnienia,</w:t>
      </w:r>
      <w:r w:rsidRPr="002767B3">
        <w:rPr>
          <w:sz w:val="24"/>
          <w:szCs w:val="24"/>
        </w:rPr>
        <w:t xml:space="preserve"> a następnie w terminie tygodnia od dnia  otrzymania  uzasadnienia wnieść zażalenie.</w:t>
      </w:r>
      <w:r w:rsidRPr="002767B3">
        <w:rPr>
          <w:bCs/>
          <w:sz w:val="24"/>
          <w:szCs w:val="24"/>
        </w:rPr>
        <w:t xml:space="preserve"> Od wniosku o doręczenie orzeczenia z uzasadnieniem zgłoszonego w terminie tygodnia od dnia doręczenia tego orzeczenia pobiera się </w:t>
      </w:r>
      <w:r w:rsidRPr="002767B3">
        <w:rPr>
          <w:b/>
          <w:bCs/>
          <w:sz w:val="24"/>
          <w:szCs w:val="24"/>
        </w:rPr>
        <w:t xml:space="preserve">opłatę stałą w wysokości </w:t>
      </w:r>
      <w:r w:rsidR="00516D48">
        <w:rPr>
          <w:b/>
          <w:bCs/>
          <w:sz w:val="24"/>
          <w:szCs w:val="24"/>
        </w:rPr>
        <w:t>3</w:t>
      </w:r>
      <w:r w:rsidRPr="002767B3">
        <w:rPr>
          <w:b/>
          <w:bCs/>
          <w:sz w:val="24"/>
          <w:szCs w:val="24"/>
        </w:rPr>
        <w:t xml:space="preserve">0 zł. </w:t>
      </w:r>
      <w:r w:rsidRPr="002767B3">
        <w:rPr>
          <w:bCs/>
          <w:sz w:val="24"/>
          <w:szCs w:val="24"/>
        </w:rPr>
        <w:t xml:space="preserve">W przypadku wniesienia środka zaskarżenia opłatę uiszczoną od wniosku o doręczenie orzeczenia z uzasadnieniem zalicza się na poczet opłaty od środka zaskarżenia. Ewentualna nadwyżka nie podlega zwrotowi. </w:t>
      </w:r>
    </w:p>
    <w:p w:rsidR="002767B3" w:rsidRPr="002767B3" w:rsidRDefault="002767B3" w:rsidP="002767B3">
      <w:pPr>
        <w:jc w:val="both"/>
        <w:rPr>
          <w:rFonts w:eastAsia="Calibri"/>
          <w:b/>
          <w:sz w:val="24"/>
          <w:szCs w:val="24"/>
          <w:u w:val="single"/>
          <w:lang w:eastAsia="en-US"/>
        </w:rPr>
      </w:pPr>
    </w:p>
    <w:p w:rsidR="002767B3" w:rsidRPr="002767B3" w:rsidRDefault="002767B3" w:rsidP="002767B3">
      <w:pPr>
        <w:jc w:val="both"/>
        <w:rPr>
          <w:rFonts w:eastAsia="Calibri"/>
          <w:sz w:val="24"/>
          <w:szCs w:val="24"/>
          <w:lang w:eastAsia="en-US"/>
        </w:rPr>
      </w:pPr>
      <w:r w:rsidRPr="002767B3">
        <w:rPr>
          <w:rFonts w:eastAsia="Calibri"/>
          <w:sz w:val="24"/>
          <w:szCs w:val="24"/>
          <w:lang w:eastAsia="en-US"/>
        </w:rPr>
        <w:t xml:space="preserve">Zażalenie składa się do Sądu Okręgowego w Zielonej Górze </w:t>
      </w:r>
      <w:r w:rsidRPr="002767B3">
        <w:rPr>
          <w:rFonts w:eastAsia="Calibri"/>
          <w:b/>
          <w:sz w:val="24"/>
          <w:szCs w:val="24"/>
          <w:lang w:eastAsia="en-US"/>
        </w:rPr>
        <w:t>za pośrednictwem</w:t>
      </w:r>
      <w:r w:rsidRPr="002767B3">
        <w:rPr>
          <w:rFonts w:eastAsia="Calibri"/>
          <w:sz w:val="24"/>
          <w:szCs w:val="24"/>
          <w:lang w:eastAsia="en-US"/>
        </w:rPr>
        <w:t xml:space="preserve"> Sądu Rejonowego w Żarach, który wydał zaskarżone orzeczenie.</w:t>
      </w:r>
    </w:p>
    <w:p w:rsidR="002767B3" w:rsidRPr="002767B3" w:rsidRDefault="002767B3" w:rsidP="002767B3">
      <w:pPr>
        <w:jc w:val="both"/>
        <w:rPr>
          <w:rFonts w:eastAsia="Calibri"/>
          <w:sz w:val="24"/>
          <w:szCs w:val="24"/>
          <w:lang w:eastAsia="en-US"/>
        </w:rPr>
      </w:pPr>
      <w:r w:rsidRPr="002767B3">
        <w:rPr>
          <w:rFonts w:eastAsia="Calibri"/>
          <w:sz w:val="24"/>
          <w:szCs w:val="24"/>
          <w:lang w:eastAsia="en-US"/>
        </w:rPr>
        <w:t>Do pisma procesowego należy dołączyć jego o</w:t>
      </w:r>
      <w:r w:rsidRPr="002767B3">
        <w:rPr>
          <w:rFonts w:eastAsia="Calibri"/>
          <w:b/>
          <w:sz w:val="24"/>
          <w:szCs w:val="24"/>
          <w:lang w:eastAsia="en-US"/>
        </w:rPr>
        <w:t>dpisy i odpisy załączników</w:t>
      </w:r>
      <w:r w:rsidRPr="002767B3">
        <w:rPr>
          <w:rFonts w:eastAsia="Calibri"/>
          <w:sz w:val="24"/>
          <w:szCs w:val="24"/>
          <w:lang w:eastAsia="en-US"/>
        </w:rPr>
        <w:t xml:space="preserve"> dla doręczenia ich uczestniczącym w sprawie osobom</w:t>
      </w:r>
    </w:p>
    <w:p w:rsidR="002767B3" w:rsidRPr="002767B3" w:rsidRDefault="002767B3" w:rsidP="002767B3">
      <w:pPr>
        <w:jc w:val="both"/>
        <w:rPr>
          <w:rFonts w:eastAsia="Calibri"/>
          <w:sz w:val="24"/>
          <w:szCs w:val="24"/>
          <w:lang w:eastAsia="en-US"/>
        </w:rPr>
      </w:pPr>
      <w:r w:rsidRPr="002767B3">
        <w:rPr>
          <w:rFonts w:eastAsia="Calibri"/>
          <w:b/>
          <w:sz w:val="24"/>
          <w:szCs w:val="24"/>
          <w:lang w:eastAsia="en-US"/>
        </w:rPr>
        <w:t>Termin do wniesienia zażalenia wynosi tydzień od dnia doręczenia postanowienia z uzasadnieniem.</w:t>
      </w:r>
      <w:r w:rsidRPr="002767B3">
        <w:rPr>
          <w:rFonts w:eastAsia="Calibri"/>
          <w:sz w:val="24"/>
          <w:szCs w:val="24"/>
          <w:lang w:eastAsia="en-US"/>
        </w:rPr>
        <w:t xml:space="preserve"> Jeżeli przy wydaniu postanowienia sąd odstąpił od jego uzasadnienia, termin liczy się od dnia ogłoszenia postanowienia, a jeżeli podlegało ono doręczeniu - od dnia jego doręczenia (art. 394 § 2 k.p.c.). </w:t>
      </w:r>
    </w:p>
    <w:p w:rsidR="002767B3" w:rsidRPr="002767B3" w:rsidRDefault="002767B3" w:rsidP="002767B3">
      <w:pPr>
        <w:jc w:val="both"/>
        <w:rPr>
          <w:rFonts w:eastAsia="Calibri"/>
          <w:sz w:val="24"/>
          <w:szCs w:val="24"/>
          <w:lang w:eastAsia="en-US"/>
        </w:rPr>
      </w:pPr>
      <w:r w:rsidRPr="002767B3">
        <w:rPr>
          <w:rFonts w:eastAsia="Calibri"/>
          <w:sz w:val="24"/>
          <w:szCs w:val="24"/>
          <w:lang w:eastAsia="en-US"/>
        </w:rPr>
        <w:t xml:space="preserve">Jeżeli koniec terminu do wykonania czynności przypada na dzień uznany ustawowo za wolny od pracy lub na sobotę, termin upływa następnego dnia, który nie jest dniem wolnym od pracy ani sobotą (art. 115 k.c.). </w:t>
      </w:r>
    </w:p>
    <w:p w:rsidR="002767B3" w:rsidRPr="002767B3" w:rsidRDefault="002767B3" w:rsidP="002767B3">
      <w:pPr>
        <w:jc w:val="both"/>
        <w:rPr>
          <w:rFonts w:eastAsia="Calibri"/>
          <w:sz w:val="24"/>
          <w:szCs w:val="24"/>
          <w:lang w:eastAsia="en-US"/>
        </w:rPr>
      </w:pPr>
      <w:r w:rsidRPr="002767B3">
        <w:rPr>
          <w:rFonts w:eastAsia="Calibri"/>
          <w:sz w:val="24"/>
          <w:szCs w:val="24"/>
          <w:lang w:eastAsia="en-US"/>
        </w:rPr>
        <w:t xml:space="preserve">Zażalenie powinno czynić zadość wymaganiom przepisanym dla pisma procesowego oraz zawierać wskazanie zaskarżonego postanowienia i wniosek o jego zmianę lub uchylenie, jak również zwięzłe uzasadnienie zażalenia ze wskazaniem w miarę potrzeby nowych faktów i dowodów (art. 394 § 3 k.p.c.). </w:t>
      </w:r>
    </w:p>
    <w:p w:rsidR="002767B3" w:rsidRPr="002767B3" w:rsidRDefault="002767B3" w:rsidP="002767B3">
      <w:pPr>
        <w:jc w:val="both"/>
        <w:rPr>
          <w:rFonts w:eastAsia="Calibri"/>
          <w:sz w:val="24"/>
          <w:szCs w:val="24"/>
          <w:lang w:eastAsia="en-US"/>
        </w:rPr>
      </w:pPr>
      <w:r w:rsidRPr="002767B3">
        <w:rPr>
          <w:rFonts w:eastAsia="Calibri"/>
          <w:sz w:val="24"/>
          <w:szCs w:val="24"/>
          <w:lang w:eastAsia="en-US"/>
        </w:rPr>
        <w:t>Oddanie pisma procesowego w polskiej placówce pocztowej operatora wyznaczonego w rozumieniu ustawy z dnia 23 listopada 2012 r. - Prawo pocztowe lub w placówce pocztowej operatora świadczącego pocztowe usługi powszechne w innym państwie członkowskim Unii Europejskiej jest równoznaczne z wniesieniem go do sądu. To samo dotyczy złożenia pisma przez żołnierza w dowództwie jednostki wojskowej albo przez osobę pozbawioną wolności w administracji zakładu karnego oraz przez członka załogi polskiego statku morskiego u kapitana statku (art. 165 § 2 i 3 k.p.c.). Operatorem wyznaczonym, o którym wyżej mowa, w rozumieniu</w:t>
      </w:r>
      <w:r w:rsidR="000E2EDF">
        <w:rPr>
          <w:rFonts w:eastAsia="Calibri"/>
          <w:sz w:val="24"/>
          <w:szCs w:val="24"/>
          <w:lang w:eastAsia="en-US"/>
        </w:rPr>
        <w:t xml:space="preserve"> ustawy</w:t>
      </w:r>
      <w:r w:rsidRPr="002767B3">
        <w:rPr>
          <w:rFonts w:eastAsia="Calibri"/>
          <w:sz w:val="24"/>
          <w:szCs w:val="24"/>
          <w:lang w:eastAsia="en-US"/>
        </w:rPr>
        <w:t xml:space="preserve"> z dnia 23 listopada 2012 r. - Prawo pocztowe jest wyłącznie </w:t>
      </w:r>
      <w:r w:rsidRPr="002767B3">
        <w:rPr>
          <w:rFonts w:eastAsia="Calibri"/>
          <w:b/>
          <w:sz w:val="24"/>
          <w:szCs w:val="24"/>
          <w:lang w:eastAsia="en-US"/>
        </w:rPr>
        <w:t>Poczta Polska</w:t>
      </w:r>
      <w:r w:rsidRPr="002767B3">
        <w:rPr>
          <w:rFonts w:eastAsia="Calibri"/>
          <w:sz w:val="24"/>
          <w:szCs w:val="24"/>
          <w:lang w:eastAsia="en-US"/>
        </w:rPr>
        <w:t xml:space="preserve">. </w:t>
      </w:r>
    </w:p>
    <w:p w:rsidR="002767B3" w:rsidRPr="002767B3" w:rsidRDefault="002767B3" w:rsidP="002767B3">
      <w:pPr>
        <w:jc w:val="both"/>
        <w:rPr>
          <w:rFonts w:eastAsia="Calibri"/>
          <w:sz w:val="24"/>
          <w:szCs w:val="24"/>
          <w:lang w:eastAsia="en-US"/>
        </w:rPr>
      </w:pPr>
      <w:r w:rsidRPr="002767B3">
        <w:rPr>
          <w:rFonts w:eastAsia="Calibri"/>
          <w:sz w:val="24"/>
          <w:szCs w:val="24"/>
          <w:lang w:eastAsia="en-US"/>
        </w:rPr>
        <w:t xml:space="preserve">Strony i ich przedstawiciele mają obowiązek zawiadamiać sąd o każdej zmianie swego zamieszkania  (§ 1). W razie zaniedbania tego obowiązku pismo sądowe pozostawia się w aktach sprawy ze skutkiem doręczenia, chyba że nowy adres jest sądowi znany. Strona, która zgłosiła wniosek o dokonywanie doręczeń na adres oznaczonej skrytki pocztowej, ma obowiązek zawiadamiać sąd o każdej zmianie tego adresu. Przepisy § 2 i 3 stosuje się odpowiedni (§ 4) (art. 136 § 1-4 k.p.c.). </w:t>
      </w:r>
    </w:p>
    <w:p w:rsidR="002767B3" w:rsidRPr="002767B3" w:rsidRDefault="002767B3" w:rsidP="002767B3">
      <w:pPr>
        <w:jc w:val="both"/>
        <w:rPr>
          <w:rFonts w:eastAsia="Calibri"/>
          <w:sz w:val="24"/>
          <w:szCs w:val="24"/>
          <w:lang w:eastAsia="en-US"/>
        </w:rPr>
      </w:pPr>
    </w:p>
    <w:p w:rsidR="00831C4D" w:rsidRPr="00831C4D" w:rsidRDefault="00831C4D" w:rsidP="002767B3">
      <w:pPr>
        <w:pStyle w:val="Tre"/>
      </w:pPr>
    </w:p>
    <w:sectPr w:rsidR="00831C4D" w:rsidRPr="00831C4D">
      <w:headerReference w:type="default" r:id="rId7"/>
      <w:footerReference w:type="default" r:id="rId8"/>
      <w:pgSz w:w="11907" w:h="16840" w:code="9"/>
      <w:pgMar w:top="851" w:right="851" w:bottom="851" w:left="1134" w:header="0"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99" w:rsidRDefault="00DA4999">
      <w:r>
        <w:separator/>
      </w:r>
    </w:p>
  </w:endnote>
  <w:endnote w:type="continuationSeparator" w:id="0">
    <w:p w:rsidR="00DA4999" w:rsidRDefault="00DA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rCode3of9">
    <w:panose1 w:val="00000000000000000000"/>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4D" w:rsidRDefault="00831C4D">
    <w:pPr>
      <w:tabs>
        <w:tab w:val="left" w:pos="3600"/>
        <w:tab w:val="right" w:pos="7200"/>
      </w:tabs>
      <w:spacing w:before="60"/>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99" w:rsidRDefault="00DA4999">
      <w:r>
        <w:separator/>
      </w:r>
    </w:p>
  </w:footnote>
  <w:footnote w:type="continuationSeparator" w:id="0">
    <w:p w:rsidR="00DA4999" w:rsidRDefault="00DA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4D" w:rsidRDefault="00831C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B4FC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421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2FA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3C4D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9C8E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747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DA8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4A6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CEAF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C5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22EE"/>
    <w:multiLevelType w:val="hybridMultilevel"/>
    <w:tmpl w:val="9438A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024E17"/>
    <w:multiLevelType w:val="hybridMultilevel"/>
    <w:tmpl w:val="19F409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1366D92"/>
    <w:multiLevelType w:val="hybridMultilevel"/>
    <w:tmpl w:val="D7C07980"/>
    <w:lvl w:ilvl="0" w:tplc="0ABAC58E">
      <w:start w:val="1"/>
      <w:numFmt w:val="decimal"/>
      <w:lvlText w:val="%1."/>
      <w:lvlJc w:val="left"/>
      <w:pPr>
        <w:tabs>
          <w:tab w:val="num" w:pos="360"/>
        </w:tabs>
        <w:ind w:left="360" w:hanging="360"/>
      </w:pPr>
      <w:rPr>
        <w:rFonts w:hint="default"/>
        <w:b w:val="0"/>
        <w:i w:val="0"/>
      </w:rPr>
    </w:lvl>
    <w:lvl w:ilvl="1" w:tplc="0852B592">
      <w:start w:val="1"/>
      <w:numFmt w:val="lowerLetter"/>
      <w:lvlText w:val="%2)"/>
      <w:lvlJc w:val="left"/>
      <w:pPr>
        <w:tabs>
          <w:tab w:val="num" w:pos="1117"/>
        </w:tabs>
        <w:ind w:left="1117"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3205C49"/>
    <w:multiLevelType w:val="hybridMultilevel"/>
    <w:tmpl w:val="AC387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9A27FB"/>
    <w:multiLevelType w:val="hybridMultilevel"/>
    <w:tmpl w:val="97785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04AE9"/>
    <w:multiLevelType w:val="hybridMultilevel"/>
    <w:tmpl w:val="0748C7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01425"/>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DA111B9"/>
    <w:multiLevelType w:val="hybridMultilevel"/>
    <w:tmpl w:val="9DCC1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1B70BC"/>
    <w:multiLevelType w:val="hybridMultilevel"/>
    <w:tmpl w:val="6EAC4580"/>
    <w:lvl w:ilvl="0" w:tplc="0852B592">
      <w:start w:val="1"/>
      <w:numFmt w:val="lowerLetter"/>
      <w:lvlText w:val="%1)"/>
      <w:lvlJc w:val="left"/>
      <w:pPr>
        <w:tabs>
          <w:tab w:val="num" w:pos="397"/>
        </w:tabs>
        <w:ind w:left="397" w:hanging="397"/>
      </w:pPr>
      <w:rPr>
        <w:rFonts w:hint="default"/>
      </w:rPr>
    </w:lvl>
    <w:lvl w:ilvl="1" w:tplc="0F64B252">
      <w:start w:val="1"/>
      <w:numFmt w:val="bullet"/>
      <w:lvlText w:val=""/>
      <w:lvlJc w:val="left"/>
      <w:pPr>
        <w:tabs>
          <w:tab w:val="num" w:pos="720"/>
        </w:tabs>
        <w:ind w:left="720" w:hanging="360"/>
      </w:pPr>
      <w:rPr>
        <w:rFonts w:ascii="Symbol" w:hAnsi="Symbol" w:hint="default"/>
      </w:r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num w:numId="1">
    <w:abstractNumId w:val="5"/>
  </w:num>
  <w:num w:numId="2">
    <w:abstractNumId w:val="16"/>
  </w:num>
  <w:num w:numId="3">
    <w:abstractNumId w:val="15"/>
  </w:num>
  <w:num w:numId="4">
    <w:abstractNumId w:val="11"/>
  </w:num>
  <w:num w:numId="5">
    <w:abstractNumId w:val="12"/>
  </w:num>
  <w:num w:numId="6">
    <w:abstractNumId w:val="18"/>
  </w:num>
  <w:num w:numId="7">
    <w:abstractNumId w:val="14"/>
  </w:num>
  <w:num w:numId="8">
    <w:abstractNumId w:val="13"/>
  </w:num>
  <w:num w:numId="9">
    <w:abstractNumId w:val="10"/>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05"/>
    <w:rsid w:val="00016092"/>
    <w:rsid w:val="000334ED"/>
    <w:rsid w:val="00053D99"/>
    <w:rsid w:val="000A1C22"/>
    <w:rsid w:val="000E2EDF"/>
    <w:rsid w:val="00106625"/>
    <w:rsid w:val="00133297"/>
    <w:rsid w:val="00177190"/>
    <w:rsid w:val="001E52E8"/>
    <w:rsid w:val="001F51A0"/>
    <w:rsid w:val="001F6178"/>
    <w:rsid w:val="002767B3"/>
    <w:rsid w:val="002772AD"/>
    <w:rsid w:val="002A29AE"/>
    <w:rsid w:val="002C1E6E"/>
    <w:rsid w:val="002F1E62"/>
    <w:rsid w:val="003544D2"/>
    <w:rsid w:val="00364713"/>
    <w:rsid w:val="003A1B8C"/>
    <w:rsid w:val="003F4146"/>
    <w:rsid w:val="00431E8D"/>
    <w:rsid w:val="004352EB"/>
    <w:rsid w:val="00490437"/>
    <w:rsid w:val="004A3EC0"/>
    <w:rsid w:val="004D65B8"/>
    <w:rsid w:val="004E6335"/>
    <w:rsid w:val="00502621"/>
    <w:rsid w:val="00504BA3"/>
    <w:rsid w:val="00516D48"/>
    <w:rsid w:val="005276B6"/>
    <w:rsid w:val="005D4FAE"/>
    <w:rsid w:val="00633F1C"/>
    <w:rsid w:val="00831C4D"/>
    <w:rsid w:val="008326D6"/>
    <w:rsid w:val="00852E01"/>
    <w:rsid w:val="00860CCD"/>
    <w:rsid w:val="00894F43"/>
    <w:rsid w:val="008C49E6"/>
    <w:rsid w:val="009314E3"/>
    <w:rsid w:val="00980DFE"/>
    <w:rsid w:val="009833AB"/>
    <w:rsid w:val="009D0B05"/>
    <w:rsid w:val="009E6694"/>
    <w:rsid w:val="00AF00B0"/>
    <w:rsid w:val="00B214D8"/>
    <w:rsid w:val="00B52DAD"/>
    <w:rsid w:val="00B9664A"/>
    <w:rsid w:val="00BC6FBE"/>
    <w:rsid w:val="00BF0277"/>
    <w:rsid w:val="00C0146C"/>
    <w:rsid w:val="00C5168F"/>
    <w:rsid w:val="00C6340F"/>
    <w:rsid w:val="00C65568"/>
    <w:rsid w:val="00C811DF"/>
    <w:rsid w:val="00C85905"/>
    <w:rsid w:val="00C96832"/>
    <w:rsid w:val="00CA5DCD"/>
    <w:rsid w:val="00D52BE4"/>
    <w:rsid w:val="00D57110"/>
    <w:rsid w:val="00D60851"/>
    <w:rsid w:val="00D624D0"/>
    <w:rsid w:val="00D9318B"/>
    <w:rsid w:val="00DA4999"/>
    <w:rsid w:val="00DB3060"/>
    <w:rsid w:val="00DB5A1E"/>
    <w:rsid w:val="00DB696E"/>
    <w:rsid w:val="00E04DD7"/>
    <w:rsid w:val="00E22D72"/>
    <w:rsid w:val="00E668AA"/>
    <w:rsid w:val="00EA7A4D"/>
    <w:rsid w:val="00EC48D1"/>
    <w:rsid w:val="00EE443B"/>
    <w:rsid w:val="00EE5E07"/>
    <w:rsid w:val="00FB6E4F"/>
    <w:rsid w:val="00FC0D73"/>
    <w:rsid w:val="00FC4C13"/>
    <w:rsid w:val="00FE17FE"/>
    <w:rsid w:val="00FF080B"/>
    <w:rsid w:val="00FF2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855EEE-08C0-430E-9BC6-C8B59F65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18"/>
    </w:rPr>
  </w:style>
  <w:style w:type="paragraph" w:styleId="Nagwek1">
    <w:name w:val="heading 1"/>
    <w:basedOn w:val="Normalny"/>
    <w:next w:val="Normalny"/>
    <w:qFormat/>
    <w:pPr>
      <w:keepNext/>
      <w:spacing w:line="360" w:lineRule="auto"/>
      <w:jc w:val="center"/>
      <w:outlineLvl w:val="0"/>
    </w:pPr>
    <w:rPr>
      <w:b/>
      <w:sz w:val="24"/>
      <w:szCs w:val="24"/>
    </w:rPr>
  </w:style>
  <w:style w:type="paragraph" w:styleId="Nagwek2">
    <w:name w:val="heading 2"/>
    <w:basedOn w:val="Normalny"/>
    <w:next w:val="Normalny"/>
    <w:qFormat/>
    <w:pPr>
      <w:keepNext/>
      <w:tabs>
        <w:tab w:val="left" w:pos="3780"/>
      </w:tabs>
      <w:spacing w:line="360" w:lineRule="auto"/>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i/>
      <w:sz w:val="16"/>
    </w:rPr>
  </w:style>
  <w:style w:type="character" w:customStyle="1" w:styleId="SygnaturaKod">
    <w:name w:val="Sygnatura Kod"/>
    <w:rPr>
      <w:rFonts w:ascii="BarCode3of9" w:hAnsi="BarCode3of9"/>
      <w:sz w:val="32"/>
    </w:rPr>
  </w:style>
  <w:style w:type="character" w:styleId="Odwoaniedokomentarza">
    <w:name w:val="annotation reference"/>
    <w:semiHidden/>
    <w:rPr>
      <w:sz w:val="16"/>
      <w:szCs w:val="16"/>
    </w:rPr>
  </w:style>
  <w:style w:type="character" w:customStyle="1" w:styleId="oznaczeniepracownika">
    <w:name w:val="oznaczenie pracownika"/>
    <w:rPr>
      <w:rFonts w:ascii="Times New Roman" w:hAnsi="Times New Roman"/>
      <w:b/>
    </w:rPr>
  </w:style>
  <w:style w:type="paragraph" w:customStyle="1" w:styleId="Podpowied">
    <w:name w:val="Podpowiedź"/>
    <w:basedOn w:val="Normalny"/>
    <w:pPr>
      <w:tabs>
        <w:tab w:val="center" w:pos="7740"/>
      </w:tabs>
    </w:pPr>
    <w:rPr>
      <w:sz w:val="16"/>
      <w:szCs w:val="14"/>
    </w:rPr>
  </w:style>
  <w:style w:type="paragraph" w:customStyle="1" w:styleId="Adresat">
    <w:name w:val="Adresat"/>
    <w:basedOn w:val="Normalny"/>
    <w:pPr>
      <w:ind w:left="5400" w:hanging="2"/>
    </w:pPr>
    <w:rPr>
      <w:sz w:val="26"/>
    </w:rPr>
  </w:style>
  <w:style w:type="paragraph" w:styleId="Tytu">
    <w:name w:val="Title"/>
    <w:basedOn w:val="Normalny"/>
    <w:next w:val="Podtytu"/>
    <w:qFormat/>
    <w:pPr>
      <w:spacing w:before="600" w:after="120"/>
      <w:jc w:val="center"/>
      <w:outlineLvl w:val="0"/>
    </w:pPr>
    <w:rPr>
      <w:rFonts w:cs="Arial"/>
      <w:b/>
      <w:bCs/>
      <w:kern w:val="28"/>
      <w:sz w:val="32"/>
      <w:szCs w:val="32"/>
    </w:rPr>
  </w:style>
  <w:style w:type="paragraph" w:styleId="Podtytu">
    <w:name w:val="Subtitle"/>
    <w:basedOn w:val="Normalny"/>
    <w:next w:val="Tre"/>
    <w:qFormat/>
    <w:pPr>
      <w:spacing w:after="600"/>
      <w:jc w:val="center"/>
      <w:outlineLvl w:val="1"/>
    </w:pPr>
    <w:rPr>
      <w:rFonts w:cs="Arial"/>
      <w:b/>
      <w:sz w:val="28"/>
      <w:szCs w:val="24"/>
    </w:rPr>
  </w:style>
  <w:style w:type="paragraph" w:customStyle="1" w:styleId="Tre">
    <w:name w:val="Treść"/>
    <w:basedOn w:val="Normalny"/>
    <w:pPr>
      <w:spacing w:line="360" w:lineRule="auto"/>
      <w:jc w:val="both"/>
      <w:outlineLvl w:val="0"/>
    </w:pPr>
    <w:rPr>
      <w:sz w:val="24"/>
      <w:szCs w:val="18"/>
    </w:rPr>
  </w:style>
  <w:style w:type="paragraph" w:customStyle="1" w:styleId="Pouczenienagwek">
    <w:name w:val="Pouczenie nagłówek"/>
    <w:basedOn w:val="Podtytu"/>
    <w:rPr>
      <w:caps/>
      <w:spacing w:val="80"/>
      <w:szCs w:val="22"/>
    </w:rPr>
  </w:style>
  <w:style w:type="character" w:customStyle="1" w:styleId="PodpowiedZnak">
    <w:name w:val="Podpowiedź Znak"/>
    <w:rPr>
      <w:sz w:val="14"/>
      <w:szCs w:val="14"/>
      <w:lang w:val="pl-PL" w:eastAsia="pl-PL" w:bidi="ar-SA"/>
    </w:rPr>
  </w:style>
  <w:style w:type="paragraph" w:customStyle="1" w:styleId="Sygnaturapowizana">
    <w:name w:val="Sygnatura powiązana"/>
    <w:basedOn w:val="Normalny"/>
    <w:pPr>
      <w:spacing w:before="480"/>
      <w:jc w:val="both"/>
      <w:outlineLvl w:val="0"/>
    </w:pPr>
    <w:rPr>
      <w:b/>
      <w:sz w:val="24"/>
      <w:szCs w:val="18"/>
    </w:rPr>
  </w:style>
  <w:style w:type="paragraph" w:customStyle="1" w:styleId="Piecz">
    <w:name w:val="Pieczęć"/>
    <w:basedOn w:val="Normalny"/>
    <w:pPr>
      <w:spacing w:before="20" w:after="20"/>
      <w:jc w:val="center"/>
    </w:pPr>
    <w:rPr>
      <w:rFonts w:ascii="Arial" w:hAnsi="Arial"/>
      <w:b/>
      <w:sz w:val="20"/>
      <w:szCs w:val="18"/>
    </w:rPr>
  </w:style>
  <w:style w:type="character" w:customStyle="1" w:styleId="PieczZnak">
    <w:name w:val="Pieczęć Znak"/>
    <w:rPr>
      <w:rFonts w:ascii="Arial" w:hAnsi="Arial"/>
      <w:b/>
      <w:sz w:val="16"/>
      <w:szCs w:val="18"/>
      <w:lang w:val="pl-PL" w:eastAsia="pl-PL" w:bidi="ar-SA"/>
    </w:rPr>
  </w:style>
  <w:style w:type="paragraph" w:customStyle="1" w:styleId="Pieczmaa">
    <w:name w:val="Pieczęć mała"/>
    <w:basedOn w:val="Piecz"/>
    <w:rPr>
      <w:b w:val="0"/>
      <w:sz w:val="18"/>
    </w:rPr>
  </w:style>
  <w:style w:type="paragraph" w:customStyle="1" w:styleId="Sygnatura">
    <w:name w:val="Sygnatura"/>
    <w:basedOn w:val="Normalny"/>
    <w:next w:val="Podpowiedzsygnatura"/>
    <w:pPr>
      <w:tabs>
        <w:tab w:val="center" w:pos="1985"/>
      </w:tabs>
      <w:spacing w:before="360" w:after="40"/>
    </w:pPr>
    <w:rPr>
      <w:sz w:val="28"/>
      <w:szCs w:val="24"/>
    </w:rPr>
  </w:style>
  <w:style w:type="paragraph" w:customStyle="1" w:styleId="Pouczenietre">
    <w:name w:val="Pouczenie treść"/>
    <w:basedOn w:val="Normalny"/>
    <w:pPr>
      <w:spacing w:after="120"/>
      <w:jc w:val="both"/>
    </w:pPr>
    <w:rPr>
      <w:sz w:val="22"/>
      <w:szCs w:val="16"/>
    </w:rPr>
  </w:style>
  <w:style w:type="paragraph" w:customStyle="1" w:styleId="Podpowiedstanowisko">
    <w:name w:val="Podpowiedź stanowisko"/>
    <w:basedOn w:val="Podpowied"/>
    <w:next w:val="Podpowied"/>
    <w:pPr>
      <w:spacing w:after="480"/>
    </w:pPr>
    <w:rPr>
      <w:b/>
      <w:sz w:val="20"/>
    </w:rPr>
  </w:style>
  <w:style w:type="paragraph" w:customStyle="1" w:styleId="Nagowekdata">
    <w:name w:val="Nagłowek data"/>
    <w:basedOn w:val="Normalny"/>
    <w:pPr>
      <w:jc w:val="right"/>
    </w:pPr>
    <w:rPr>
      <w:sz w:val="24"/>
      <w:szCs w:val="18"/>
    </w:rPr>
  </w:style>
  <w:style w:type="paragraph" w:customStyle="1" w:styleId="Podpowiedzsygnatura">
    <w:name w:val="Podpowiedz sygnatura"/>
    <w:basedOn w:val="Podpowied"/>
    <w:next w:val="Adresat"/>
    <w:pPr>
      <w:tabs>
        <w:tab w:val="clear" w:pos="7740"/>
        <w:tab w:val="center" w:pos="1985"/>
      </w:tabs>
      <w:spacing w:after="360"/>
    </w:pPr>
  </w:style>
  <w:style w:type="paragraph" w:customStyle="1" w:styleId="Termin">
    <w:name w:val="Termin"/>
    <w:basedOn w:val="Tre"/>
    <w:pPr>
      <w:tabs>
        <w:tab w:val="left" w:pos="1622"/>
      </w:tabs>
      <w:spacing w:line="240" w:lineRule="auto"/>
    </w:pPr>
    <w:rPr>
      <w:b/>
    </w:rPr>
  </w:style>
  <w:style w:type="paragraph" w:customStyle="1" w:styleId="Skadsdziowski">
    <w:name w:val="Skład sędziowski"/>
    <w:basedOn w:val="Tre"/>
    <w:pPr>
      <w:tabs>
        <w:tab w:val="right" w:pos="1800"/>
      </w:tabs>
      <w:ind w:left="2160" w:hanging="2160"/>
    </w:pPr>
  </w:style>
  <w:style w:type="paragraph" w:styleId="Stopka">
    <w:name w:val="footer"/>
    <w:basedOn w:val="Normalny"/>
    <w:link w:val="StopkaZnak"/>
    <w:uiPriority w:val="99"/>
    <w:semiHidden/>
    <w:unhideWhenUsed/>
    <w:rsid w:val="000A1C22"/>
    <w:pPr>
      <w:tabs>
        <w:tab w:val="center" w:pos="4536"/>
        <w:tab w:val="right" w:pos="9072"/>
      </w:tabs>
    </w:pPr>
  </w:style>
  <w:style w:type="character" w:customStyle="1" w:styleId="StopkaZnak">
    <w:name w:val="Stopka Znak"/>
    <w:link w:val="Stopka"/>
    <w:uiPriority w:val="99"/>
    <w:semiHidden/>
    <w:rsid w:val="000A1C2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a.rybka\AppData\Local\Temp\TEMP_Sedzia2\093941_Dor&#281;czenie%20odpisu%20postanowienia%20zarz&#261;dzenia(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093941_Doręczenie odpisu postanowienia zarządzenia(2)</Template>
  <TotalTime>0</TotalTime>
  <Pages>2</Pages>
  <Words>544</Words>
  <Characters>3269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Formularz SIP</vt:lpstr>
    </vt:vector>
  </TitlesOfParts>
  <Manager>Krzysztof Habowski</Manager>
  <Company>ZETO "Świdnica"</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SIP</dc:title>
  <dc:subject/>
  <dc:creator>Rybka Agata</dc:creator>
  <cp:keywords/>
  <dc:description/>
  <cp:lastModifiedBy>Rybka Agata</cp:lastModifiedBy>
  <cp:revision>2</cp:revision>
  <cp:lastPrinted>2003-05-27T06:40:00Z</cp:lastPrinted>
  <dcterms:created xsi:type="dcterms:W3CDTF">2024-03-29T08:43:00Z</dcterms:created>
  <dcterms:modified xsi:type="dcterms:W3CDTF">2024-03-29T08:43:00Z</dcterms:modified>
</cp:coreProperties>
</file>